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D3B" w:rsidRPr="00F27D3B" w:rsidRDefault="00F27D3B" w:rsidP="00F27D3B">
      <w:pPr>
        <w:adjustRightInd/>
        <w:snapToGrid/>
        <w:spacing w:after="0" w:line="480" w:lineRule="atLeast"/>
        <w:jc w:val="center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宋体" w:eastAsia="宋体" w:hAnsi="宋体" w:cs="宋体" w:hint="eastAsia"/>
          <w:b/>
          <w:bCs/>
          <w:color w:val="000000"/>
          <w:sz w:val="28"/>
        </w:rPr>
        <w:t>成都住房公积金管理中心</w:t>
      </w:r>
    </w:p>
    <w:p w:rsidR="00F27D3B" w:rsidRPr="00F27D3B" w:rsidRDefault="00F27D3B" w:rsidP="00F27D3B">
      <w:pPr>
        <w:adjustRightInd/>
        <w:snapToGrid/>
        <w:spacing w:after="0" w:line="480" w:lineRule="atLeast"/>
        <w:jc w:val="center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宋体" w:eastAsia="宋体" w:hAnsi="宋体" w:cs="宋体" w:hint="eastAsia"/>
          <w:b/>
          <w:bCs/>
          <w:color w:val="000000"/>
          <w:sz w:val="28"/>
        </w:rPr>
        <w:t>2017年公开招聘工作人员考试（笔试）大纲</w:t>
      </w:r>
    </w:p>
    <w:p w:rsidR="00F27D3B" w:rsidRPr="00F27D3B" w:rsidRDefault="00F27D3B" w:rsidP="00F27D3B">
      <w:pPr>
        <w:adjustRightInd/>
        <w:snapToGrid/>
        <w:spacing w:before="100" w:beforeAutospacing="1" w:after="100" w:afterAutospacing="1" w:line="580" w:lineRule="atLeast"/>
        <w:jc w:val="center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方正小标宋简体" w:eastAsia="方正小标宋简体" w:hAnsi="Simsun" w:cs="宋体" w:hint="eastAsia"/>
          <w:color w:val="000000"/>
          <w:sz w:val="44"/>
          <w:szCs w:val="44"/>
        </w:rPr>
        <w:t> 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center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b/>
          <w:bCs/>
          <w:color w:val="000000"/>
          <w:sz w:val="21"/>
        </w:rPr>
        <w:t>《职业能力倾向测验》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center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7"/>
          <w:szCs w:val="27"/>
        </w:rPr>
        <w:t> 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《职业能力倾向测验》总分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100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分，考试时间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90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分钟，全部为客观性试题，题型均为单项选择题。考试内容主要包括：数量关系、言语理解与表达、判断推理、常识判断、资料分析五个部分。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第一部分：数量关系。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一、数字间数量关系的推理能力。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二、数据的分析、运算，解决数量关系的能力。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第二部分：言语理解与表达。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一、字、词准确含义的掌握与运用能力。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二、各类语句的准确表达方式的掌握与运用能力。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三、短文材料的概括能力，细节的理解与分析判断能力。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第三部分：判断推理。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一、二维图形和空间关系准确识别及推理的能力。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二、概念和标准的分析、判断能力。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三、推理、演绎、归纳等逻辑思维的综合运用能力。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第四部分：常识判断。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社会、历史、文学、天文、地理、军事等方面的基本知识及其运用能力。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第五部分：资料分析。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文字、图形、表格等资料的综合理解和分析加工能力。</w:t>
      </w:r>
    </w:p>
    <w:p w:rsidR="00F27D3B" w:rsidRPr="00F27D3B" w:rsidRDefault="00F27D3B" w:rsidP="00F27D3B">
      <w:pPr>
        <w:adjustRightInd/>
        <w:snapToGrid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7"/>
          <w:szCs w:val="27"/>
        </w:rPr>
        <w:t> 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center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b/>
          <w:bCs/>
          <w:color w:val="000000"/>
          <w:sz w:val="21"/>
        </w:rPr>
        <w:t>《综合能力素质》（公共类）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lastRenderedPageBreak/>
        <w:t>《综合能力素质》（公共类）总分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100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分，考试时间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120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分钟，包括客观题（单项选择题、多项选择题）和主观题（材料作文题）两部分。考试内容如下：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第一部分：客观题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考试内容主要包括：法律基础、中国特色社会主义理论、马克思主义哲学、应用文、经济与管理、公民道德建设、科技基础知识、四川省情（成都市情）、时事政治等。具体如下：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（一）法律基础。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1.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法的一般原理、法的制定与实施。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2.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宪法性法律、行政法、民法、刑法、社会法、经济法、劳动法等基本概念和基本原则。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3.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宪法性法律、行政法、民法、刑法、社会法、经济法、劳动法等的法律关系、法律行为和适用范围等。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4.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常见犯罪种类、特点与刑罚种类、裁量。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5.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合同的订立、生效、履行、变更、终止和解除。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（二）中国特色社会主义理论。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1.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毛泽东思想、邓小平理论、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“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三个代表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”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重要思想、科学发展观的主要内容。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2.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我国面临的新形势新任务，以及党的建设和国家未来发展的一系列理论和实践。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（三）马克思主义哲学。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马克思主义哲学的主要内容及基本观点。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（四）应用文。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1.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应用文含义、特点、种类、作用、格式规范。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2.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法定公文的分类、构成要素、写作要求以及常用公文的撰写。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3.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公文处理的概念、基本任务、基本原则，收文、发文处理的程序和方法，办毕公文的处置。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（五）经济与管理。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1.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经济学的基本常识、基础理论及运用。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2.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管理学的基本常识、基础理论及运用。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（六）公民道德建设。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1.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公民道德建设的指导思想、方针原则及主要内容。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lastRenderedPageBreak/>
        <w:t>2.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社会主义核心价值观的概念、内涵及基本原则。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（七）科技基础知识。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信息科学、生物技术、能源科学、空间技术、农业高科技等新技术的基本特点、作用及发展趋势。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（八）省情市情。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四川省和成都市的历史文化、人口与民族、区域经济、地理位置、地形地貌、气候特点等。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（九）时事政治。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1.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一年来国际、国内发生的重大事件。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2.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国家、四川省（成都市）近期出台的重大决策的主要内容。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第二部分：主观题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主要考查考生的阅读理解能力、综合分析能力、提出对策解决实际问题能力和文字表达能力等。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试题包含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1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道材料作文题，题目中给出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300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～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1000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字的材料，要求考生根据材料，撰写一篇字数在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800-1000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字的议论文。</w:t>
      </w:r>
    </w:p>
    <w:p w:rsidR="00F27D3B" w:rsidRPr="00F27D3B" w:rsidRDefault="00F27D3B" w:rsidP="00F27D3B">
      <w:pPr>
        <w:adjustRightInd/>
        <w:snapToGrid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7"/>
          <w:szCs w:val="27"/>
        </w:rPr>
        <w:t> 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center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b/>
          <w:bCs/>
          <w:color w:val="000000"/>
          <w:sz w:val="21"/>
        </w:rPr>
        <w:t>《公积金政策与风险管理基础知识》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 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《公积金政策与风险管理基础知识》总分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100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分，考试时间为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90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分钟，试题分为客观性试题和主观性试题两类，考试内容主要包括：经济金融基础知识、银行业务及管理、法律基础及监管制度规定、内部控制及风险管理四个部分。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第一部分：经济金融基础知识。掌握宏观经济发展的目标、经济周期的主要特征、经济结构的构成、区域经济特征及对金融机构和房地产市场的影响；掌握货币的本质、货币供给与需求的影响因素、通货膨胀及通货紧缩的基本内容；掌握货币政策的内容、目标、原理及传导机制；掌握利息及利率的内容、我国利率市场化的进程；掌握外汇及汇率的基本内容、影响汇率变动的因素及人民币国际化的进程；掌握我国金融机构的分类与职能；掌握金融机构的基本业务、职能和经营特点；掌握金融市场的内容、特点和分类；掌握金融工具的特点及种类；掌握央行、金融监管机构、金融机构及自律组织的分类和职能；熟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lastRenderedPageBreak/>
        <w:t>悉中央银行作为最后贷款人的条件、最后贷款人的援助对象及操作方式；熟悉建立存款保险制度的必要性、我国存款保险制度的主要内容；掌握住房公积金制度的建立及作用，熟悉并了解住房金融制度的全球经验，中国住房公积金的制度困境与改革出路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第二部分：银行业务及管理。掌握金融机构存贷款业务分类、具体品种、特征、流程及管理要求；了解金融机构投行业务及债券投资的目标、对象、收益指标及计算方法、风险内容，金融债券的内容、发行条件；了解西方及我国商业银行公司治理及组织架构、特点、模式、发展趋势；掌握金融机构风险管理的组织架构、主要流程，掌握风险的内涵及分类，熟悉全面风险管理的基本内容，掌握银行合规管理的主要内容；了解资本管理的国际监管标准及我国的监管要求；熟悉银行信用风险、市场风险、操作风险的评判标准及计量方法，掌握银行信用风险、市场风险、操作风险、流动性风险的分类及管控手段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第三部分：法律基础及监管制度规定。熟悉《中国人民银行法》中有关人民银行法定职责、法定货币的单位及禁止性规定等；熟悉《银行业监督管理法》中有关适用范围、银监会机构设置及监管职责、监管措施具体内容等；掌握我国银行监管的框架、结构和特点；熟悉银行监管的目标、方法、流程。熟悉监管评级的主要内容、框架和作用；熟悉主要国家金融监管的体制、模式和特征，掌握我国银行监管的框架、结构和特点；熟悉《商业银行法》中有关商业银行业务范围、经营原则、商业银行组织机构、商业银行存贷款业务等业务规则；了解《反洗钱法》中有关洗钱的概念、过程、方式、反洗钱的监管机构及职责、商业银行反洗钱义务；掌握《物权法》、《担保法》中有关物权的基本原则和特征、担保的种类及相应的法律规则；掌握《合同法》中有关合同的订立、合同的效力、合同的变更、转让、终止以及合同违约责任的基本法律规则；熟悉合同保全方式和合同履行中的抗辩权；掌握《婚姻法》、《继承法》中与银行业务相关的法律制度；了解《巴塞尔新资本协议》中有关巴塞尔银行监管委员会的成立目标，三大支柱、市场约束的主要内容和作用等；掌握我国银行自律组织的宗旨和目标；掌握《银行业金融机构从业人员职业操守指引》中关于职业操守的宗旨和适用范围。掌握从业准则及职业操守的内容与相关规定；掌握《个人贷款管理暂行办法》相关内容；掌握《贷款通则》相关内容；掌握《住房公积金管理条例》相关内容；掌握《征信业管理条例》相关内容；掌握当前人民银行、银监会等部门发布的关于房地产政策的通知等。掌握《审计法》相关内容。</w:t>
      </w:r>
    </w:p>
    <w:p w:rsidR="00F27D3B" w:rsidRPr="00F27D3B" w:rsidRDefault="00F27D3B" w:rsidP="00F27D3B">
      <w:pPr>
        <w:adjustRightInd/>
        <w:snapToGrid/>
        <w:spacing w:after="0" w:line="480" w:lineRule="atLeast"/>
        <w:ind w:firstLine="420"/>
        <w:jc w:val="both"/>
        <w:rPr>
          <w:rFonts w:ascii="Simsun" w:eastAsia="宋体" w:hAnsi="Simsun" w:cs="宋体"/>
          <w:color w:val="000000"/>
          <w:sz w:val="27"/>
          <w:szCs w:val="27"/>
        </w:rPr>
      </w:pPr>
      <w:r w:rsidRPr="00F27D3B">
        <w:rPr>
          <w:rFonts w:ascii="Simsun" w:eastAsia="宋体" w:hAnsi="Simsun" w:cs="宋体"/>
          <w:color w:val="000000"/>
          <w:sz w:val="21"/>
          <w:szCs w:val="21"/>
        </w:rPr>
        <w:t>第四部分：内部控制及风险管理。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 xml:space="preserve"> 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t>一、风险管理基础：了解风险的基本内容及风险与收益、损失的关系；掌握商业银行五种风险管理策略的基本原理和主要作用；掌握商业银</w:t>
      </w:r>
      <w:r w:rsidRPr="00F27D3B">
        <w:rPr>
          <w:rFonts w:ascii="Simsun" w:eastAsia="宋体" w:hAnsi="Simsun" w:cs="宋体"/>
          <w:color w:val="000000"/>
          <w:sz w:val="21"/>
          <w:szCs w:val="21"/>
        </w:rPr>
        <w:lastRenderedPageBreak/>
        <w:t>行面临的八种主要风险的基本内容、分类和特性；了解风险管理对商业银行经营的重要意义和作用；了解商业银行风险管理模式演进的四个阶段；掌握商业银行资本的基本内容、分类和作用；了解监管资本的基本内容和构成要素；了解银监会最低资本充足率要求；了解银监会杠杆率要求及与资本充足率的关系。二、风险管理体系：了解董事会、高管层在风险管理中的职责，熟悉风险管理部门的职责；熟悉风险治理、风险偏好、风险限额、风险文化、</w:t>
      </w:r>
      <w:hyperlink r:id="rId6" w:tgtFrame="http://www.chinaacc.com/ccbp/fxzd/_blank" w:tooltip="内部控制" w:history="1">
        <w:r w:rsidRPr="00F27D3B">
          <w:rPr>
            <w:rFonts w:ascii="Simsun" w:eastAsia="宋体" w:hAnsi="Simsun" w:cs="宋体"/>
            <w:color w:val="000000"/>
            <w:sz w:val="21"/>
          </w:rPr>
          <w:t>内部控制</w:t>
        </w:r>
      </w:hyperlink>
      <w:r w:rsidRPr="00F27D3B">
        <w:rPr>
          <w:rFonts w:ascii="Simsun" w:eastAsia="宋体" w:hAnsi="Simsun" w:cs="宋体"/>
          <w:color w:val="000000"/>
          <w:sz w:val="21"/>
          <w:szCs w:val="21"/>
        </w:rPr>
        <w:t>、</w:t>
      </w:r>
      <w:hyperlink r:id="rId7" w:tgtFrame="http://www.chinaacc.com/ccbp/fxzd/_blank" w:tooltip="内部审计" w:history="1">
        <w:r w:rsidRPr="00F27D3B">
          <w:rPr>
            <w:rFonts w:ascii="Simsun" w:eastAsia="宋体" w:hAnsi="Simsun" w:cs="宋体"/>
            <w:color w:val="000000"/>
            <w:sz w:val="21"/>
          </w:rPr>
          <w:t>内部审计</w:t>
        </w:r>
      </w:hyperlink>
      <w:r w:rsidRPr="00F27D3B">
        <w:rPr>
          <w:rFonts w:ascii="Simsun" w:eastAsia="宋体" w:hAnsi="Simsun" w:cs="宋体"/>
          <w:color w:val="000000"/>
          <w:sz w:val="21"/>
          <w:szCs w:val="21"/>
        </w:rPr>
        <w:t>的基本内容；掌握风险管理的基本流程；熟悉内部控制和内部审计在风险管理中的作用。三、信用风险管理：掌握个人客户和贷款组合的信用风险识别要点；了解三种主要的信用风险计量方法；熟悉信用风险监测与报告的对象、指标和业务流程；掌握信用风险控制的限额管理、环节控制和业务实践；了解拨备管理、不良资产处置等信用风险抵补措施。四、操作风险管理：掌握操作风险的基本内容和主要形式；了解操作风险管理的主要框架，包括治理结构、政策制度、信息系统、三道防线；了解主要业务条线的操作风险点和控制手段。五、流动性风险管理：掌握流动性风险的基本内容和流动性风险管理的作用；熟悉流动性风险产生的内部因素和外部因素；掌握流动性风险短期计量指标和中长期结构性指标；了解流动性风险限额的作用、管控、预警及报告，了解流动性风险的控制手段。六、内部控制：掌握《行政事业单位内部控制规范》的目标、原则、风险评估重点、内部控制方法、单位层面和业务层面内部控制要点、评价和监督等相关内容。七、内部审计：掌握《审计署关于内部审计工作的规定》、《内部审计基本准则》相关内容。熟悉内部审计的内容、职责与权限、审计工作流程、考核与问责等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77FD" w:rsidRDefault="005177FD" w:rsidP="00F27D3B">
      <w:pPr>
        <w:spacing w:after="0"/>
      </w:pPr>
      <w:r>
        <w:separator/>
      </w:r>
    </w:p>
  </w:endnote>
  <w:endnote w:type="continuationSeparator" w:id="0">
    <w:p w:rsidR="005177FD" w:rsidRDefault="005177FD" w:rsidP="00F27D3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77FD" w:rsidRDefault="005177FD" w:rsidP="00F27D3B">
      <w:pPr>
        <w:spacing w:after="0"/>
      </w:pPr>
      <w:r>
        <w:separator/>
      </w:r>
    </w:p>
  </w:footnote>
  <w:footnote w:type="continuationSeparator" w:id="0">
    <w:p w:rsidR="005177FD" w:rsidRDefault="005177FD" w:rsidP="00F27D3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5177FD"/>
    <w:rsid w:val="005C106B"/>
    <w:rsid w:val="008B7726"/>
    <w:rsid w:val="00D31D50"/>
    <w:rsid w:val="00F27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7D3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7D3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7D3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7D3B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27D3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Strong"/>
    <w:basedOn w:val="a0"/>
    <w:uiPriority w:val="22"/>
    <w:qFormat/>
    <w:rsid w:val="00F27D3B"/>
    <w:rPr>
      <w:b/>
      <w:bCs/>
    </w:rPr>
  </w:style>
  <w:style w:type="character" w:styleId="a7">
    <w:name w:val="Hyperlink"/>
    <w:basedOn w:val="a0"/>
    <w:uiPriority w:val="99"/>
    <w:semiHidden/>
    <w:unhideWhenUsed/>
    <w:rsid w:val="00F27D3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238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chinaacc.com/kuaijishiwu/sjyw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hinaacc.com/kuaijishiwu/sjyw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568</Words>
  <Characters>3238</Characters>
  <Application>Microsoft Office Word</Application>
  <DocSecurity>0</DocSecurity>
  <Lines>26</Lines>
  <Paragraphs>7</Paragraphs>
  <ScaleCrop>false</ScaleCrop>
  <Company/>
  <LinksUpToDate>false</LinksUpToDate>
  <CharactersWithSpaces>3799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2017-10-19T02:25:00Z</dcterms:modified>
</cp:coreProperties>
</file>